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640" w:lineRule="exact"/>
        <w:jc w:val="center"/>
        <w:rPr>
          <w:rFonts w:hint="default" w:ascii="Times New Roman" w:hAnsi="Times New Roman" w:eastAsia="方正小标宋简体" w:cs="Times New Roman"/>
          <w:outline w:val="0"/>
          <w:color w:val="000000"/>
          <w:sz w:val="44"/>
          <w:szCs w:val="44"/>
          <w:u w:color="000000"/>
          <w:lang w:val="zh-TW" w:eastAsia="zh-TW"/>
        </w:rPr>
      </w:pPr>
      <w:r>
        <w:rPr>
          <w:rFonts w:hint="default" w:ascii="Times New Roman" w:hAnsi="Times New Roman" w:eastAsia="方正小标宋简体" w:cs="Times New Roman"/>
          <w:outline w:val="0"/>
          <w:color w:val="000000"/>
          <w:sz w:val="44"/>
          <w:szCs w:val="44"/>
          <w:u w:val="none" w:color="000000"/>
          <w:rtl w:val="0"/>
          <w:lang w:val="zh-TW" w:eastAsia="zh-TW"/>
        </w:rPr>
        <w:t>报纸生产系统物理服务器采购</w:t>
      </w:r>
      <w:r>
        <w:rPr>
          <w:rFonts w:hint="default" w:ascii="Times New Roman" w:hAnsi="Times New Roman" w:eastAsia="方正小标宋简体" w:cs="Times New Roman"/>
          <w:outline w:val="0"/>
          <w:color w:val="000000"/>
          <w:sz w:val="44"/>
          <w:szCs w:val="44"/>
          <w:u w:color="000000"/>
          <w:rtl w:val="0"/>
          <w:lang w:val="zh-TW" w:eastAsia="zh-TW"/>
        </w:rPr>
        <w:t>询比文件</w:t>
      </w:r>
    </w:p>
    <w:p>
      <w:pPr>
        <w:framePr w:wrap="auto" w:vAnchor="margin" w:hAnchor="text" w:yAlign="inline"/>
        <w:spacing w:line="640" w:lineRule="exact"/>
        <w:jc w:val="both"/>
        <w:rPr>
          <w:rFonts w:hint="default" w:ascii="Times New Roman" w:hAnsi="Times New Roman" w:eastAsia="宋体" w:cs="Times New Roman"/>
          <w:outline w:val="0"/>
          <w:color w:val="000000"/>
          <w:sz w:val="28"/>
          <w:szCs w:val="28"/>
          <w:u w:color="000000"/>
          <w:lang w:val="zh-TW" w:eastAsia="zh-TW"/>
        </w:rPr>
      </w:pPr>
    </w:p>
    <w:p>
      <w:pPr>
        <w:pStyle w:val="11"/>
        <w:framePr w:wrap="auto" w:vAnchor="margin" w:hAnchor="text" w:yAlign="inline"/>
        <w:spacing w:before="0" w:after="0" w:line="640" w:lineRule="exact"/>
        <w:ind w:firstLine="680"/>
        <w:jc w:val="both"/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val="none" w:color="000000"/>
          <w:shd w:val="clear" w:color="auto" w:fill="auto"/>
          <w:lang w:val="zh-TW" w:eastAsia="zh-TW"/>
        </w:rPr>
      </w:pPr>
      <w:r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color="000000"/>
          <w:rtl w:val="0"/>
          <w:lang w:val="zh-TW" w:eastAsia="zh-TW"/>
        </w:rPr>
        <w:t>一、项目名称</w:t>
      </w:r>
    </w:p>
    <w:p>
      <w:pPr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仿宋_GB2312" w:cs="Times New Roman"/>
          <w:sz w:val="34"/>
          <w:szCs w:val="34"/>
          <w:rtl w:val="0"/>
          <w:lang w:val="zh-TW" w:eastAsia="zh-TW"/>
        </w:rPr>
      </w:pPr>
      <w:r>
        <w:rPr>
          <w:rFonts w:hint="default" w:ascii="Times New Roman" w:hAnsi="Times New Roman" w:eastAsia="仿宋_GB2312" w:cs="Times New Roman"/>
          <w:sz w:val="34"/>
          <w:szCs w:val="34"/>
          <w:rtl w:val="0"/>
          <w:lang w:val="zh-TW" w:eastAsia="zh-TW"/>
        </w:rPr>
        <w:t>报纸生产系统物理服务器采购</w:t>
      </w:r>
    </w:p>
    <w:p>
      <w:pPr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黑体" w:cs="Times New Roman"/>
          <w:sz w:val="34"/>
          <w:szCs w:val="34"/>
          <w:lang w:val="zh-TW" w:eastAsia="zh-TW"/>
        </w:rPr>
      </w:pPr>
      <w:r>
        <w:rPr>
          <w:rFonts w:hint="default" w:ascii="Times New Roman" w:hAnsi="Times New Roman" w:eastAsia="黑体" w:cs="Times New Roman"/>
          <w:sz w:val="34"/>
          <w:szCs w:val="34"/>
          <w:rtl w:val="0"/>
          <w:lang w:val="zh-TW" w:eastAsia="zh-TW"/>
        </w:rPr>
        <w:t>二、采购内容</w:t>
      </w:r>
    </w:p>
    <w:p>
      <w:pPr>
        <w:pStyle w:val="4"/>
        <w:framePr w:wrap="auto" w:vAnchor="margin" w:hAnchor="text" w:yAlign="inline"/>
        <w:shd w:val="clear" w:color="auto" w:fill="FFFFFF"/>
        <w:spacing w:before="0" w:after="0" w:line="640" w:lineRule="exact"/>
        <w:ind w:firstLine="680"/>
        <w:jc w:val="both"/>
        <w:rPr>
          <w:rFonts w:hint="default" w:ascii="Times New Roman" w:hAnsi="Times New Roman" w:eastAsia="仿宋_GB2312" w:cs="Times New Roman"/>
          <w:outline w:val="0"/>
          <w:color w:val="000000"/>
          <w:sz w:val="34"/>
          <w:szCs w:val="34"/>
          <w:u w:val="none" w:color="000000"/>
          <w:rtl w:val="0"/>
          <w:lang w:val="zh-TW" w:eastAsia="zh-TW"/>
        </w:rPr>
      </w:pPr>
      <w:r>
        <w:rPr>
          <w:rFonts w:hint="default" w:ascii="Times New Roman" w:hAnsi="Times New Roman" w:eastAsia="仿宋_GB2312" w:cs="Times New Roman"/>
          <w:outline w:val="0"/>
          <w:color w:val="000000"/>
          <w:sz w:val="34"/>
          <w:szCs w:val="34"/>
          <w:u w:val="none" w:color="000000"/>
          <w:rtl w:val="0"/>
          <w:lang w:val="zh-TW" w:eastAsia="zh-TW"/>
        </w:rPr>
        <w:t>为保障《21世纪经济报道》报纸生产系统的稳定、高效、安全运行，现公开</w:t>
      </w:r>
      <w:r>
        <w:rPr>
          <w:rFonts w:hint="eastAsia" w:ascii="Times New Roman" w:hAnsi="Times New Roman" w:eastAsia="仿宋_GB2312" w:cs="Times New Roman"/>
          <w:outline w:val="0"/>
          <w:color w:val="000000"/>
          <w:sz w:val="34"/>
          <w:szCs w:val="34"/>
          <w:u w:val="none" w:color="000000"/>
          <w:rtl w:val="0"/>
          <w:lang w:val="en-US" w:eastAsia="zh-CN"/>
        </w:rPr>
        <w:t>询比</w:t>
      </w:r>
      <w:r>
        <w:rPr>
          <w:rFonts w:hint="default" w:ascii="Times New Roman" w:hAnsi="Times New Roman" w:eastAsia="仿宋_GB2312" w:cs="Times New Roman"/>
          <w:outline w:val="0"/>
          <w:color w:val="000000"/>
          <w:sz w:val="34"/>
          <w:szCs w:val="34"/>
          <w:u w:val="none" w:color="000000"/>
          <w:rtl w:val="0"/>
          <w:lang w:val="zh-TW" w:eastAsia="zh-TW"/>
        </w:rPr>
        <w:t>采购物理服务器，数量4台。具体要求如下：</w:t>
      </w:r>
    </w:p>
    <w:tbl>
      <w:tblPr>
        <w:tblStyle w:val="5"/>
        <w:tblW w:w="96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99"/>
        <w:gridCol w:w="606"/>
        <w:gridCol w:w="77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  <w:t>类别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  <w:t>型号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  <w:t>数量</w:t>
            </w:r>
          </w:p>
        </w:tc>
        <w:tc>
          <w:tcPr>
            <w:tcW w:w="7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lightGray"/>
                <w:u w:val="none"/>
                <w:lang w:val="en-US" w:eastAsia="zh-CN" w:bidi="ar"/>
                <w14:ligatures w14:val="standardContextual"/>
              </w:rPr>
              <w:t>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采编服务器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WR3220 G2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3台</w:t>
            </w:r>
          </w:p>
        </w:tc>
        <w:tc>
          <w:tcPr>
            <w:tcW w:w="7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Lenovo WR3220 G2 ，2U机架式服务器，1个英特尔 至强 可扩展处理器Silver/银牌 4314  cpu SRKXL 2.4G主频率 睿频3.4G  16内核32线程数 TDP135W ，最大可支持2颗CPU，2个32GB TruDDR4 2933MHz (1Rx4 1.2V) RDIMM内存，最大支持16个DDR4内存插槽,2块240G 固态硬盘+3块3.5"4TB SAS 7.2K 热插拔硬盘, 最大支持8个3.5"硬盘背板插槽，标配RAID 5350-8i PCIe 12Gbps阵列卡(无缓存，最大支持8个硬盘)支持RAID0/1/10/5/50，标配4个集成1GbE RJ-45网口(不支持10/100 Mb网络)(OCP卡)和1个管理网络端口，最大支持6个PCIe 3.0插槽，1个550W白金级热插拔电源模块，最大支持2个，前置1个USB2.0(XClarity管理接口)，1个USB3.0接口，3+3全国联保三年上门；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  <w:jc w:val="center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数据库服务器</w:t>
            </w: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WR3220 G2</w:t>
            </w:r>
          </w:p>
        </w:tc>
        <w:tc>
          <w:tcPr>
            <w:tcW w:w="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1台</w:t>
            </w:r>
          </w:p>
        </w:tc>
        <w:tc>
          <w:tcPr>
            <w:tcW w:w="7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Lenovo WR3220 G2 ，2U机架式服务器，1个英特尔 至强 可扩展处理器Silver/银牌 4314  cpu SRKXL 2.4G主频率 睿频3.4G  16内核32线程数 TDP135W ，最大可支持2颗CPU，2个32GB TruDDR4 2933MHz (1Rx4 1.2V) RDIMM内存，最大支持16个DDR4内存插槽,2块240G 固态硬盘+3块3.5"4TB SAS 7.2K 热插拔硬盘, 最大支持8个3.5"硬盘背板插槽，标配RAID 5350-8i PCIe 12Gbps阵列卡(无缓存，最大支持8个硬盘)支持RAID0/1/10/5/50，标配4个集成1GbE RJ-45网口(不支持10/100 Mb网络)(OCP卡)和1个管理网络端口，最大支持6个PCIe 3.0插槽，1个550W白金级热插拔电源模块，最大支持2个，前置1个USB2.0(XClarity管理接口)，1个USB3.0接口，3+3全国联保三年上门；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该配置含WINDOWS SERVER 2022标准版系统+SQL SERVER2017标准版数据量；</w:t>
            </w:r>
          </w:p>
        </w:tc>
      </w:tr>
    </w:tbl>
    <w:p>
      <w:pPr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val="none" w:color="000000"/>
          <w:lang w:val="zh-TW" w:eastAsia="zh-TW"/>
        </w:rPr>
      </w:pPr>
      <w:r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val="none" w:color="000000"/>
          <w:rtl w:val="0"/>
          <w:lang w:val="zh-TW" w:eastAsia="zh-TW"/>
        </w:rPr>
        <w:t>三、采购人</w:t>
      </w:r>
    </w:p>
    <w:p>
      <w:pPr>
        <w:pStyle w:val="2"/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仿宋_GB2312" w:cs="Times New Roman"/>
          <w:sz w:val="34"/>
          <w:szCs w:val="34"/>
          <w:rtl w:val="0"/>
          <w:lang w:val="zh-TW" w:eastAsia="zh-TW"/>
        </w:rPr>
      </w:pPr>
      <w:r>
        <w:rPr>
          <w:rFonts w:hint="default" w:ascii="Times New Roman" w:hAnsi="Times New Roman" w:eastAsia="仿宋_GB2312" w:cs="Times New Roman"/>
          <w:sz w:val="34"/>
          <w:szCs w:val="34"/>
          <w:rtl w:val="0"/>
          <w:lang w:val="zh-TW" w:eastAsia="zh-TW"/>
        </w:rPr>
        <w:t>广东南方财经全媒体集团股份有限公司</w:t>
      </w:r>
    </w:p>
    <w:p>
      <w:pPr>
        <w:pStyle w:val="2"/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color="000000"/>
          <w:lang w:val="zh-TW" w:eastAsia="zh-TW"/>
        </w:rPr>
      </w:pPr>
      <w:r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color="000000"/>
          <w:rtl w:val="0"/>
          <w:lang w:val="zh-TW" w:eastAsia="zh-TW"/>
        </w:rPr>
        <w:t>四、供应商资质要求</w:t>
      </w:r>
    </w:p>
    <w:p>
      <w:pPr>
        <w:widowControl/>
        <w:spacing w:line="640" w:lineRule="exact"/>
        <w:ind w:firstLine="680"/>
        <w:jc w:val="both"/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1.供应商应是在中华人民共和国境内注册的独立法人，具有有效的营业执照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；</w:t>
      </w:r>
    </w:p>
    <w:p>
      <w:pPr>
        <w:widowControl/>
        <w:spacing w:line="640" w:lineRule="exact"/>
        <w:ind w:firstLine="680"/>
        <w:jc w:val="both"/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2.供应商应具备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设备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生产或销售的相关资质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；</w:t>
      </w:r>
    </w:p>
    <w:p>
      <w:pPr>
        <w:widowControl/>
        <w:spacing w:line="640" w:lineRule="exact"/>
        <w:ind w:right="-619" w:rightChars="-295" w:firstLine="680"/>
        <w:jc w:val="both"/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</w:pP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3.供应商应具有履行合同所必需的设备和专业技术能力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。</w:t>
      </w:r>
    </w:p>
    <w:p>
      <w:pPr>
        <w:pStyle w:val="2"/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黑体" w:cs="Times New Roman"/>
          <w:sz w:val="34"/>
          <w:szCs w:val="34"/>
          <w:shd w:val="clear" w:color="auto" w:fill="auto"/>
          <w:lang w:val="zh-TW" w:eastAsia="zh-TW"/>
        </w:rPr>
      </w:pPr>
      <w:r>
        <w:rPr>
          <w:rFonts w:hint="default" w:ascii="Times New Roman" w:hAnsi="Times New Roman" w:eastAsia="黑体" w:cs="Times New Roman"/>
          <w:sz w:val="34"/>
          <w:szCs w:val="34"/>
          <w:shd w:val="clear" w:color="auto" w:fill="auto"/>
          <w:rtl w:val="0"/>
          <w:lang w:val="zh-TW" w:eastAsia="zh-TW"/>
        </w:rPr>
        <w:t>五、评审方式</w:t>
      </w:r>
    </w:p>
    <w:p>
      <w:pPr>
        <w:pStyle w:val="2"/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shd w:val="clear" w:color="auto" w:fill="auto"/>
          <w:rtl w:val="0"/>
          <w:lang w:val="zh-TW" w:eastAsia="zh-TW"/>
        </w:rPr>
        <w:t>最低评标价法，对经过资格性审查合格供应商的报价审查。</w:t>
      </w:r>
    </w:p>
    <w:p>
      <w:pPr>
        <w:framePr w:wrap="auto" w:vAnchor="margin" w:hAnchor="text" w:yAlign="inline"/>
        <w:spacing w:line="640" w:lineRule="exact"/>
        <w:ind w:firstLine="680"/>
        <w:jc w:val="both"/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color="000000"/>
          <w:lang w:val="zh-TW" w:eastAsia="zh-TW"/>
        </w:rPr>
      </w:pPr>
      <w:r>
        <w:rPr>
          <w:rFonts w:hint="default" w:ascii="Times New Roman" w:hAnsi="Times New Roman" w:eastAsia="黑体" w:cs="Times New Roman"/>
          <w:outline w:val="0"/>
          <w:color w:val="000000"/>
          <w:sz w:val="34"/>
          <w:szCs w:val="34"/>
          <w:u w:color="000000"/>
          <w:rtl w:val="0"/>
          <w:lang w:val="zh-TW" w:eastAsia="zh-TW"/>
        </w:rPr>
        <w:t>六、合同主要条款</w:t>
      </w:r>
    </w:p>
    <w:p>
      <w:pPr>
        <w:framePr w:wrap="auto" w:vAnchor="margin" w:hAnchor="text" w:yAlign="inline"/>
        <w:widowControl/>
        <w:spacing w:line="640" w:lineRule="exact"/>
        <w:ind w:firstLine="68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aps w:val="0"/>
          <w:smallCaps w:val="0"/>
          <w:outline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1.</w:t>
      </w:r>
      <w:r>
        <w:rPr>
          <w:rFonts w:hint="default" w:ascii="Times New Roman" w:hAnsi="Times New Roman" w:eastAsia="仿宋_GB2312" w:cs="Times New Roman"/>
          <w:caps w:val="0"/>
          <w:smallCaps w:val="0"/>
          <w:outline w:val="0"/>
          <w:color w:val="222222"/>
          <w:spacing w:val="0"/>
          <w:kern w:val="0"/>
          <w:sz w:val="34"/>
          <w:szCs w:val="34"/>
          <w:u w:color="222222"/>
          <w:rtl w:val="0"/>
          <w:lang w:val="zh-TW" w:eastAsia="zh-TW"/>
        </w:rPr>
        <w:t>限价与计价方式：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本项目最高限价为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人民币</w:t>
      </w:r>
      <w:r>
        <w:rPr>
          <w:rStyle w:val="7"/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16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万元（含税）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222222"/>
          <w:spacing w:val="0"/>
          <w:kern w:val="0"/>
          <w:sz w:val="34"/>
          <w:szCs w:val="34"/>
          <w:lang w:val="en-US" w:eastAsia="zh-CN" w:bidi="ar"/>
        </w:rPr>
        <w:t>。</w:t>
      </w:r>
    </w:p>
    <w:p>
      <w:pPr>
        <w:widowControl/>
        <w:spacing w:line="640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.报价含税、含运费和安装费等，提供增值税发票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。</w:t>
      </w:r>
    </w:p>
    <w:p>
      <w:pPr>
        <w:widowControl/>
        <w:spacing w:line="640" w:lineRule="exact"/>
        <w:ind w:firstLine="680" w:firstLineChars="200"/>
        <w:jc w:val="left"/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.供货时间：合同签订后4个工作日内</w:t>
      </w: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。</w:t>
      </w:r>
      <w:bookmarkStart w:id="0" w:name="_GoBack"/>
      <w:bookmarkEnd w:id="0"/>
    </w:p>
    <w:p>
      <w:pPr>
        <w:widowControl/>
        <w:spacing w:line="640" w:lineRule="exact"/>
        <w:ind w:firstLine="680" w:firstLineChars="200"/>
        <w:jc w:val="left"/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.供应商应提供3年的免费上门质保服务，质保期自服务器验收合格之日起计算。如存在技术评估无法解决的问题或维修2次或2次以上无法解决的问题，应更换新配件或新的整机，更新的配件或整机不得低于当前服务器配置。</w:t>
      </w:r>
    </w:p>
    <w:p>
      <w:pPr>
        <w:pStyle w:val="2"/>
        <w:framePr w:wrap="auto" w:vAnchor="margin" w:hAnchor="text" w:yAlign="inline"/>
        <w:spacing w:line="640" w:lineRule="exact"/>
        <w:ind w:firstLine="680" w:firstLineChars="200"/>
        <w:jc w:val="both"/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/>
        </w:rPr>
        <w:t>.在质保期内，供应商应提供7x24小时的技术支持服务，接到故障报告后应达现场进行处理。</w:t>
      </w:r>
    </w:p>
    <w:p>
      <w:pPr>
        <w:pStyle w:val="2"/>
        <w:framePr w:wrap="auto" w:vAnchor="margin" w:hAnchor="text" w:yAlign="inline"/>
        <w:numPr>
          <w:ilvl w:val="-1"/>
          <w:numId w:val="0"/>
        </w:numPr>
        <w:ind w:firstLine="0"/>
        <w:jc w:val="both"/>
        <w:rPr>
          <w:rFonts w:hint="default" w:ascii="Times New Roman" w:hAnsi="Times New Roman" w:cs="Times New Roman"/>
        </w:rPr>
        <w:sectPr>
          <w:headerReference r:id="rId5" w:type="default"/>
          <w:footerReference r:id="rId6" w:type="default"/>
          <w:pgSz w:w="11900" w:h="16840"/>
          <w:pgMar w:top="2098" w:right="1474" w:bottom="1984" w:left="1587" w:header="851" w:footer="992" w:gutter="0"/>
          <w:pgNumType w:start="1"/>
          <w:cols w:space="720" w:num="1"/>
        </w:sectPr>
      </w:pPr>
    </w:p>
    <w:p>
      <w:pPr>
        <w:pStyle w:val="2"/>
        <w:framePr w:wrap="auto" w:vAnchor="margin" w:hAnchor="text" w:yAlign="inline"/>
        <w:ind w:firstLine="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rtl w:val="0"/>
          <w:lang w:val="zh-TW" w:eastAsia="zh-TW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  <w:rtl w:val="0"/>
          <w:lang w:val="en-US"/>
        </w:rPr>
        <w:t>1</w:t>
      </w:r>
      <w:r>
        <w:rPr>
          <w:rFonts w:hint="default" w:ascii="Times New Roman" w:hAnsi="Times New Roman" w:eastAsia="仿宋_GB2312" w:cs="Times New Roman"/>
          <w:sz w:val="30"/>
          <w:szCs w:val="30"/>
          <w:rtl w:val="0"/>
          <w:lang w:val="zh-TW" w:eastAsia="zh-TW"/>
        </w:rPr>
        <w:t>：</w:t>
      </w:r>
    </w:p>
    <w:tbl>
      <w:tblPr>
        <w:tblStyle w:val="13"/>
        <w:tblpPr w:leftFromText="180" w:rightFromText="180" w:vertAnchor="text" w:horzAnchor="page" w:tblpX="1534" w:tblpY="270"/>
        <w:tblOverlap w:val="never"/>
        <w:tblW w:w="9025" w:type="dxa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8"/>
        <w:gridCol w:w="5790"/>
        <w:gridCol w:w="1057"/>
      </w:tblGrid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配置</w:t>
            </w:r>
          </w:p>
        </w:tc>
        <w:tc>
          <w:tcPr>
            <w:tcW w:w="5790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057" w:type="dxa"/>
            <w:tcBorders>
              <w:bottom w:val="single" w:color="666666" w:themeColor="text1" w:themeTint="99" w:sz="12" w:space="0"/>
              <w:insideH w:val="single" w:sz="12" w:space="0"/>
            </w:tcBorders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型号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  <w:color w:val="FF0000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外形规格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CPU处理器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内存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b/>
                <w:bCs/>
              </w:rPr>
              <w:t>固态</w:t>
            </w:r>
            <w:r>
              <w:rPr>
                <w:rStyle w:val="14"/>
                <w:b/>
                <w:bCs/>
              </w:rPr>
              <w:t>硬盘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Style w:val="14"/>
                <w:b/>
                <w:bCs/>
              </w:rPr>
              <w:t>机械硬盘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阵列卡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网卡1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网卡2</w:t>
            </w:r>
          </w:p>
        </w:tc>
        <w:tc>
          <w:tcPr>
            <w:tcW w:w="5790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管理口</w:t>
            </w:r>
          </w:p>
        </w:tc>
        <w:tc>
          <w:tcPr>
            <w:tcW w:w="5790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电源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Style w:val="14"/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导轨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质保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  <w:vAlign w:val="center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单价（元）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  <w:vAlign w:val="center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  <w:tr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178" w:type="dxa"/>
            <w:vAlign w:val="center"/>
          </w:tcPr>
          <w:p>
            <w:pPr>
              <w:pStyle w:val="1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总价（元）含税</w:t>
            </w:r>
          </w:p>
        </w:tc>
        <w:tc>
          <w:tcPr>
            <w:tcW w:w="5790" w:type="dxa"/>
          </w:tcPr>
          <w:p>
            <w:pPr>
              <w:pStyle w:val="12"/>
              <w:rPr>
                <w:rFonts w:hint="eastAsia"/>
              </w:rPr>
            </w:pPr>
          </w:p>
        </w:tc>
        <w:tc>
          <w:tcPr>
            <w:tcW w:w="1057" w:type="dxa"/>
          </w:tcPr>
          <w:p>
            <w:pPr>
              <w:pStyle w:val="12"/>
              <w:rPr>
                <w:rFonts w:hint="eastAsia"/>
              </w:rPr>
            </w:pPr>
          </w:p>
        </w:tc>
      </w:tr>
    </w:tbl>
    <w:p>
      <w:pPr>
        <w:pStyle w:val="2"/>
        <w:framePr w:wrap="auto" w:vAnchor="margin" w:hAnchor="text" w:yAlign="inline"/>
        <w:ind w:left="0" w:leftChars="0" w:firstLine="0" w:firstLineChars="0"/>
        <w:jc w:val="both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caps w:val="0"/>
          <w:smallCaps w:val="0"/>
          <w:color w:val="222222"/>
          <w:spacing w:val="0"/>
          <w:kern w:val="0"/>
          <w:sz w:val="34"/>
          <w:szCs w:val="34"/>
          <w:u w:color="222222"/>
          <w:rtl w:val="0"/>
          <w:lang w:val="en-US" w:eastAsia="zh-CN"/>
        </w:rPr>
        <w:t>表格可扩展</w:t>
      </w:r>
    </w:p>
    <w:sectPr>
      <w:headerReference r:id="rId7" w:type="default"/>
      <w:pgSz w:w="11900" w:h="16840"/>
      <w:pgMar w:top="2098" w:right="1474" w:bottom="1984" w:left="1587" w:header="851" w:footer="992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roman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F893418"/>
    <w:rsid w:val="21CE7161"/>
    <w:rsid w:val="268F1E11"/>
    <w:rsid w:val="26D62A44"/>
    <w:rsid w:val="398D2537"/>
    <w:rsid w:val="3DF5629D"/>
    <w:rsid w:val="45234089"/>
    <w:rsid w:val="5D4E3DE3"/>
    <w:rsid w:val="65A10967"/>
    <w:rsid w:val="6924415B"/>
    <w:rsid w:val="692C7F2F"/>
    <w:rsid w:val="6BBC4E93"/>
    <w:rsid w:val="6DD74AF1"/>
    <w:rsid w:val="7B4605F6"/>
    <w:rsid w:val="7EDC4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pageBreakBefore w:val="0"/>
      <w:framePr w:wrap="around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42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3">
    <w:name w:val="Body Text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Calibri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styleId="4">
    <w:name w:val="Normal (Web)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00" w:beforeAutospacing="0" w:after="10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宋体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qFormat/>
    <w:uiPriority w:val="0"/>
    <w:rPr>
      <w:u w:val="single"/>
    </w:rPr>
  </w:style>
  <w:style w:type="table" w:customStyle="1" w:styleId="9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10">
    <w:name w:val="Header &amp; Footer"/>
    <w:qFormat/>
    <w:uiPriority w:val="0"/>
    <w:pPr>
      <w:keepNext w:val="0"/>
      <w:keepLines w:val="0"/>
      <w:pageBreakBefore w:val="0"/>
      <w:framePr w:wrap="around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paragraph" w:customStyle="1" w:styleId="11">
    <w:name w:val="标题(大)"/>
    <w:next w:val="1"/>
    <w:qFormat/>
    <w:uiPriority w:val="0"/>
    <w:pPr>
      <w:keepNext w:val="0"/>
      <w:keepLines w:val="0"/>
      <w:pageBreakBefore w:val="0"/>
      <w:framePr w:wrap="around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60" w:beforeAutospacing="0" w:after="60" w:afterAutospacing="0" w:line="300" w:lineRule="auto"/>
      <w:ind w:left="0" w:right="0" w:firstLine="0"/>
      <w:jc w:val="center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0"/>
      <w:position w:val="0"/>
      <w:sz w:val="48"/>
      <w:szCs w:val="48"/>
      <w:u w:val="none" w:color="000000"/>
      <w:shd w:val="clear" w:color="auto" w:fill="auto"/>
      <w:vertAlign w:val="baseline"/>
      <w:lang w:val="en-US"/>
    </w:rPr>
  </w:style>
  <w:style w:type="paragraph" w:customStyle="1" w:styleId="12">
    <w:name w:val="雅黑小四齐"/>
    <w:qFormat/>
    <w:uiPriority w:val="0"/>
    <w:pPr>
      <w:snapToGrid w:val="0"/>
      <w:spacing w:line="300" w:lineRule="auto"/>
    </w:pPr>
    <w:rPr>
      <w:rFonts w:ascii="微软雅黑" w:hAnsi="微软雅黑" w:eastAsia="微软雅黑" w:cs="Times New Roman"/>
      <w:spacing w:val="6"/>
      <w:kern w:val="2"/>
      <w:sz w:val="24"/>
      <w:szCs w:val="22"/>
      <w:lang w:val="en-US" w:eastAsia="zh-CN" w:bidi="ar-SA"/>
    </w:rPr>
  </w:style>
  <w:style w:type="table" w:customStyle="1" w:styleId="13">
    <w:name w:val="Grid Table 1 Light"/>
    <w:basedOn w:val="5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feed-summary-cont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612</Words>
  <Characters>677</Characters>
  <TotalTime>20</TotalTime>
  <ScaleCrop>false</ScaleCrop>
  <LinksUpToDate>false</LinksUpToDate>
  <CharactersWithSpaces>681</CharactersWithSpaces>
  <Application>WPS Office_11.8.2.12094_F1E327BC-269C-435d-A152-05C5408002CA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2025-10-28T08:26:00Z</dcterms:created>
  <dc:creator>Lenovo</dc:creator>
  <cp:lastModifiedBy>Kai</cp:lastModifiedBy>
  <dcterms:modified xsi:type="dcterms:W3CDTF">2025-12-18T09:40:20Z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AF60ED5455AC4ABF8703499C0AA2492A</vt:lpwstr>
  </property>
  <property fmtid="{D5CDD505-2E9C-101B-9397-08002B2CF9AE}" pid="4" name="KSOTemplateDocerSaveRecord">
    <vt:lpwstr>eyJoZGlkIjoiYTVlM2VlZDBiOTg4MjEyZmI0MDVjOTgxNDdiYTQ0ZDkiLCJ1c2VySWQiOiI0ODY0ODg4MzIifQ==</vt:lpwstr>
  </property>
</Properties>
</file>